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PC-501</w:t>
      </w:r>
    </w:p>
    <w:p>
      <w:pPr>
        <w:spacing w:after="120"/>
      </w:pPr>
      <w:r>
        <w:rPr>
          <w:rFonts w:ascii="Calibri" w:cs="Calibri" w:eastAsia="Calibri" w:hAnsi="Calibri"/>
          <w:b/>
          <w:bCs/>
          <w:color w:val="1F3864"/>
          <w:sz w:val="52"/>
          <w:szCs w:val="52"/>
        </w:rPr>
        <w:t xml:space="preserve">Facilitator Guide</w:t>
      </w:r>
    </w:p>
    <w:p>
      <w:pPr>
        <w:spacing w:after="100"/>
      </w:pPr>
      <w:r>
        <w:rPr>
          <w:rFonts w:ascii="Calibri" w:cs="Calibri" w:eastAsia="Calibri" w:hAnsi="Calibri"/>
          <w:color w:val="595959"/>
          <w:sz w:val="24"/>
          <w:szCs w:val="24"/>
        </w:rPr>
        <w:t xml:space="preserve">Master day-of delivery guide for the 2–3 hour Business Resilience Pulse Check</w:t>
      </w:r>
    </w:p>
    <w:p>
      <w:pPr>
        <w:pBdr>
          <w:bottom w:val="single" w:color="2E74B5" w:sz="8" w:space="6"/>
        </w:pBdr>
        <w:spacing w:after="80"/>
      </w:pPr>
      <w:r>
        <w:rPr>
          <w:rFonts w:ascii="Calibri" w:cs="Calibri" w:eastAsia="Calibri" w:hAnsi="Calibri"/>
          <w:color w:val="595959"/>
          <w:sz w:val="20"/>
          <w:szCs w:val="20"/>
        </w:rPr>
        <w:t xml:space="preserve">Internal .  Practitioner Use Only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Purpose</w:t>
      </w:r>
    </w:p>
    <w:p>
      <w:pPr>
        <w:spacing w:after="120" w:before="0" w:line="276"/>
      </w:pPr>
      <w:r>
        <w:rPr>
          <w:rFonts w:ascii="Calibri" w:cs="Calibri" w:eastAsia="Calibri" w:hAnsi="Calibri"/>
          <w:color w:val="404040"/>
          <w:sz w:val="21"/>
          <w:szCs w:val="21"/>
        </w:rPr>
        <w:t xml:space="preserve">This guide is the facilitator's master day-of document for delivering a Business Resilience Pulse Check. It covers the delivery model, facilitation techniques for a broad cross-functional audience, the run-of-show, the hot wash, the closing conversation, and the protocol for a real incident occurring during the exercise. It pairs with the Planning Workbook (03 - Plan folder) for the planning cycle and the Observer Kit (05 - Deliver folder) for the observer's role.</w:t>
      </w:r>
    </w:p>
    <w:p>
      <w:pPr>
        <w:spacing w:after="120" w:before="0" w:line="276"/>
      </w:pPr>
      <w:r>
        <w:rPr>
          <w:rFonts w:ascii="Calibri" w:cs="Calibri" w:eastAsia="Calibri" w:hAnsi="Calibri"/>
          <w:color w:val="404040"/>
          <w:sz w:val="21"/>
          <w:szCs w:val="21"/>
        </w:rPr>
        <w:t xml:space="preserve">The advisory framing matters throughout: every Pulse Check is delivered as the beginning of an ongoing advisory relationship with the client (a shared, evidence-based picture of organizational resilience) not a standalone event.</w:t>
      </w:r>
    </w:p>
    <w:p>
      <w:pPr>
        <w:pStyle w:val="Heading1"/>
        <w:keepNext/>
        <w:spacing w:after="140" w:before="320"/>
      </w:pPr>
      <w:r>
        <w:rPr>
          <w:rFonts w:ascii="Calibri" w:cs="Calibri" w:eastAsia="Calibri" w:hAnsi="Calibri"/>
          <w:b/>
          <w:bCs/>
          <w:color w:val="1F3864"/>
          <w:sz w:val="30"/>
          <w:szCs w:val="30"/>
        </w:rPr>
        <w:t xml:space="preserve">Section 1: The Pulse Check Delivery Model</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Duration</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2–3 hours: three scenario modules (plus an optional short fourth module) and a hot wash</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Delivery team</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 lead facilitator + 1 dedicated observer. The observer is mandatory (no exceptions) and never participates in the discussion.</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Scenario</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One scenario package (GS-1a through GS-8, 04 - Scenario Packages folder), customized from the Client Intake Packet responses per the Planning Workbook, Section 6</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Participant mix</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8–15 cross-functional participants: executive, finance, HR, operations, IT, legal, communications</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Facilitation style</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Business-impact focus ,  “What would you do?” not “What control would you deploy?”</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AAR</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Full AAR per the Severity and Finding Standards (00 - Quality Standards folder), with one revision round. Draft within 15 business days; final within 30 business days.</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Advisory context</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Findings become the client's resilience roadmap. The Pulse Check starts the relationship; it doesn't end it.</w:t>
            </w:r>
          </w:p>
        </w:tc>
      </w:tr>
    </w:tbl>
    <w:p>
      <w:pPr>
        <w:pStyle w:val="Heading1"/>
        <w:keepNext/>
        <w:spacing w:after="140" w:before="320"/>
      </w:pPr>
      <w:r>
        <w:rPr>
          <w:rFonts w:ascii="Calibri" w:cs="Calibri" w:eastAsia="Calibri" w:hAnsi="Calibri"/>
          <w:b/>
          <w:bCs/>
          <w:color w:val="1F3864"/>
          <w:sz w:val="30"/>
          <w:szCs w:val="30"/>
        </w:rPr>
        <w:t xml:space="preserve">Section 2: Facilitating for a Broader Audience</w:t>
      </w:r>
    </w:p>
    <w:p>
      <w:pPr>
        <w:spacing w:after="120" w:before="0" w:line="276"/>
      </w:pPr>
      <w:r>
        <w:rPr>
          <w:rFonts w:ascii="Calibri" w:cs="Calibri" w:eastAsia="Calibri" w:hAnsi="Calibri"/>
          <w:color w:val="404040"/>
          <w:sz w:val="21"/>
          <w:szCs w:val="21"/>
        </w:rPr>
        <w:t xml:space="preserve">Pulse Check participants span every function of the client's business, and most are not technologists. Three techniques keep the whole room engaged and the data flowing.</w:t>
      </w:r>
    </w:p>
    <w:p>
      <w:pPr>
        <w:pStyle w:val="Heading2"/>
        <w:keepNext/>
        <w:spacing w:after="110" w:before="240"/>
      </w:pPr>
      <w:r>
        <w:rPr>
          <w:rFonts w:ascii="Calibri" w:cs="Calibri" w:eastAsia="Calibri" w:hAnsi="Calibri"/>
          <w:b/>
          <w:bCs/>
          <w:color w:val="2E74B5"/>
          <w:sz w:val="25"/>
          <w:szCs w:val="25"/>
        </w:rPr>
        <w:t xml:space="preserve">1. Lead with Business Impact</w:t>
      </w:r>
    </w:p>
    <w:p>
      <w:pPr>
        <w:spacing w:after="120" w:before="0" w:line="276"/>
      </w:pPr>
      <w:r>
        <w:rPr>
          <w:rFonts w:ascii="Calibri" w:cs="Calibri" w:eastAsia="Calibri" w:hAnsi="Calibri"/>
          <w:color w:val="404040"/>
          <w:sz w:val="21"/>
          <w:szCs w:val="21"/>
        </w:rPr>
        <w:t xml:space="preserve">When a scenario module reveals a gap, frame it through business consequences: “If this disruption affected one system, could it spread to your other critical operations? How would you know?” The observation is the same as a technical question; the framing serves a non-technical audience.</w:t>
      </w:r>
    </w:p>
    <w:p>
      <w:pPr>
        <w:pStyle w:val="Heading2"/>
        <w:keepNext/>
        <w:spacing w:after="110" w:before="240"/>
      </w:pPr>
      <w:r>
        <w:rPr>
          <w:rFonts w:ascii="Calibri" w:cs="Calibri" w:eastAsia="Calibri" w:hAnsi="Calibri"/>
          <w:b/>
          <w:bCs/>
          <w:color w:val="2E74B5"/>
          <w:sz w:val="25"/>
          <w:szCs w:val="25"/>
        </w:rPr>
        <w:t xml:space="preserve">2. Invite Every Function</w:t>
      </w:r>
    </w:p>
    <w:p>
      <w:pPr>
        <w:spacing w:after="120" w:before="0" w:line="276"/>
      </w:pPr>
      <w:r>
        <w:rPr>
          <w:rFonts w:ascii="Calibri" w:cs="Calibri" w:eastAsia="Calibri" w:hAnsi="Calibri"/>
          <w:color w:val="404040"/>
          <w:sz w:val="21"/>
          <w:szCs w:val="21"/>
        </w:rPr>
        <w:t xml:space="preserve">Technical participants often dominate. In a Pulse Check, actively invite non-technical contributions. “[CFO], what would this mean for our financial obligations?” “[HR], what are our obligations to employees?” Every function has a perspective the exercise needs.</w:t>
      </w:r>
    </w:p>
    <w:p>
      <w:pPr>
        <w:pStyle w:val="Heading2"/>
        <w:keepNext/>
        <w:spacing w:after="110" w:before="240"/>
      </w:pPr>
      <w:r>
        <w:rPr>
          <w:rFonts w:ascii="Calibri" w:cs="Calibri" w:eastAsia="Calibri" w:hAnsi="Calibri"/>
          <w:b/>
          <w:bCs/>
          <w:color w:val="2E74B5"/>
          <w:sz w:val="25"/>
          <w:szCs w:val="25"/>
        </w:rPr>
        <w:t xml:space="preserve">3. Validate Non-Technical Knowledge</w:t>
      </w:r>
    </w:p>
    <w:p>
      <w:pPr>
        <w:spacing w:after="120" w:before="0" w:line="276"/>
      </w:pPr>
      <w:r>
        <w:rPr>
          <w:rFonts w:ascii="Calibri" w:cs="Calibri" w:eastAsia="Calibri" w:hAnsi="Calibri"/>
          <w:color w:val="404040"/>
          <w:sz w:val="21"/>
          <w:szCs w:val="21"/>
        </w:rPr>
        <w:t xml:space="preserve">When a participant from finance or HR provides a relevant observation, acknowledge its value explicitly. The Pulse Check's value depends on capturing the full organizational response, not just the IT response.</w:t>
      </w:r>
    </w:p>
    <w:p>
      <w:pPr>
        <w:pStyle w:val="Heading1"/>
        <w:keepNext/>
        <w:spacing w:after="140" w:before="320"/>
      </w:pPr>
      <w:r>
        <w:rPr>
          <w:rFonts w:ascii="Calibri" w:cs="Calibri" w:eastAsia="Calibri" w:hAnsi="Calibri"/>
          <w:b/>
          <w:bCs/>
          <w:color w:val="1F3864"/>
          <w:sz w:val="30"/>
          <w:szCs w:val="30"/>
        </w:rPr>
        <w:t xml:space="preserve">Section 3: When Technical Depth Comes Up</w:t>
      </w:r>
    </w:p>
    <w:p>
      <w:pPr>
        <w:spacing w:after="120" w:before="0" w:line="276"/>
      </w:pPr>
      <w:r>
        <w:rPr>
          <w:rFonts w:ascii="Calibri" w:cs="Calibri" w:eastAsia="Calibri" w:hAnsi="Calibri"/>
          <w:color w:val="404040"/>
          <w:sz w:val="21"/>
          <w:szCs w:val="21"/>
        </w:rPr>
        <w:t xml:space="preserve">In most Pulse Checks, the discussion will at some point surface a technical question that no one in the room can answer with certainty. Common examples:</w:t>
      </w:r>
    </w:p>
    <w:p>
      <w:pPr>
        <w:pStyle w:val="ListParagraph"/>
        <w:numPr>
          <w:ilvl w:val="0"/>
          <w:numId w:val="2"/>
        </w:numPr>
        <w:spacing w:after="80" w:line="276"/>
      </w:pPr>
      <w:r>
        <w:rPr>
          <w:rFonts w:ascii="Calibri" w:cs="Calibri" w:eastAsia="Calibri" w:hAnsi="Calibri"/>
          <w:color w:val="404040"/>
          <w:sz w:val="21"/>
          <w:szCs w:val="21"/>
        </w:rPr>
        <w:t xml:space="preserve">A participant asks “are our backups safe?” and no one can answer with certainty.</w:t>
      </w:r>
    </w:p>
    <w:p>
      <w:pPr>
        <w:pStyle w:val="ListParagraph"/>
        <w:numPr>
          <w:ilvl w:val="0"/>
          <w:numId w:val="2"/>
        </w:numPr>
        <w:spacing w:after="80" w:line="276"/>
      </w:pPr>
      <w:r>
        <w:rPr>
          <w:rFonts w:ascii="Calibri" w:cs="Calibri" w:eastAsia="Calibri" w:hAnsi="Calibri"/>
          <w:color w:val="404040"/>
          <w:sz w:val="21"/>
          <w:szCs w:val="21"/>
        </w:rPr>
        <w:t xml:space="preserve">The discussion reveals uncertainty about whether the disruption would have been detected before it became a business crisis.</w:t>
      </w:r>
    </w:p>
    <w:p>
      <w:pPr>
        <w:pStyle w:val="ListParagraph"/>
        <w:numPr>
          <w:ilvl w:val="0"/>
          <w:numId w:val="2"/>
        </w:numPr>
        <w:spacing w:after="80" w:line="276"/>
      </w:pPr>
      <w:r>
        <w:rPr>
          <w:rFonts w:ascii="Calibri" w:cs="Calibri" w:eastAsia="Calibri" w:hAnsi="Calibri"/>
          <w:color w:val="404040"/>
          <w:sz w:val="21"/>
          <w:szCs w:val="21"/>
        </w:rPr>
        <w:t xml:space="preserve">IT security decisions are made by one person with no oversight or documented procedure.</w:t>
      </w:r>
    </w:p>
    <w:p>
      <w:pPr>
        <w:pStyle w:val="ListParagraph"/>
        <w:numPr>
          <w:ilvl w:val="0"/>
          <w:numId w:val="2"/>
        </w:numPr>
        <w:spacing w:after="80" w:line="276"/>
      </w:pPr>
      <w:r>
        <w:rPr>
          <w:rFonts w:ascii="Calibri" w:cs="Calibri" w:eastAsia="Calibri" w:hAnsi="Calibri"/>
          <w:color w:val="404040"/>
          <w:sz w:val="21"/>
          <w:szCs w:val="21"/>
        </w:rPr>
        <w:t xml:space="preserve">The scenario involves a vendor and participants cannot articulate what access the vendor has.</w:t>
      </w:r>
    </w:p>
    <w:p>
      <w:pPr>
        <w:pStyle w:val="ListParagraph"/>
        <w:numPr>
          <w:ilvl w:val="0"/>
          <w:numId w:val="2"/>
        </w:numPr>
        <w:spacing w:after="80" w:line="276"/>
      </w:pPr>
      <w:r>
        <w:rPr>
          <w:rFonts w:ascii="Calibri" w:cs="Calibri" w:eastAsia="Calibri" w:hAnsi="Calibri"/>
          <w:color w:val="404040"/>
          <w:sz w:val="21"/>
          <w:szCs w:val="21"/>
        </w:rPr>
        <w:t xml:space="preserve">Notification obligations arise and participants are uncertain about data scope or forensic capability.</w:t>
      </w:r>
    </w:p>
    <w:p>
      <w:pPr>
        <w:spacing w:after="120" w:before="0" w:line="276"/>
      </w:pPr>
      <w:r>
        <w:rPr>
          <w:rFonts w:ascii="Calibri" w:cs="Calibri" w:eastAsia="Calibri" w:hAnsi="Calibri"/>
          <w:color w:val="404040"/>
          <w:sz w:val="21"/>
          <w:szCs w:val="21"/>
        </w:rPr>
        <w:t xml:space="preserve">Handle these moments the same way every time:</w:t>
      </w:r>
    </w:p>
    <w:p>
      <w:pPr>
        <w:pStyle w:val="ListParagraph"/>
        <w:numPr>
          <w:ilvl w:val="0"/>
          <w:numId w:val="3"/>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Acknowledge and redirect to the business decision.</w:t>
      </w:r>
      <w:r>
        <w:rPr>
          <w:rFonts w:ascii="Calibri" w:cs="Calibri" w:eastAsia="Calibri" w:hAnsi="Calibri"/>
          <w:color w:val="404040"/>
          <w:sz w:val="21"/>
          <w:szCs w:val="21"/>
        </w:rPr>
        <w:t xml:space="preserve"> “Given you don't have an immediate answer to that technical question, what do you do next?” The uncertainty itself is the exercise material ,  in a real event, the organization would have to decide under exactly that uncertainty.</w:t>
      </w:r>
    </w:p>
    <w:p>
      <w:pPr>
        <w:pStyle w:val="ListParagraph"/>
        <w:numPr>
          <w:ilvl w:val="0"/>
          <w:numId w:val="3"/>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Have the observer capture it.</w:t>
      </w:r>
      <w:r>
        <w:rPr>
          <w:rFonts w:ascii="Calibri" w:cs="Calibri" w:eastAsia="Calibri" w:hAnsi="Calibri"/>
          <w:color w:val="404040"/>
          <w:sz w:val="21"/>
          <w:szCs w:val="21"/>
        </w:rPr>
        <w:t xml:space="preserve"> The uncertainty is noted verbatim in the observer notes, attributed to functional role, not name.</w:t>
      </w:r>
    </w:p>
    <w:p>
      <w:pPr>
        <w:pStyle w:val="ListParagraph"/>
        <w:numPr>
          <w:ilvl w:val="0"/>
          <w:numId w:val="3"/>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Document it in the AAR like any other observation.</w:t>
      </w:r>
      <w:r>
        <w:rPr>
          <w:rFonts w:ascii="Calibri" w:cs="Calibri" w:eastAsia="Calibri" w:hAnsi="Calibri"/>
          <w:color w:val="404040"/>
          <w:sz w:val="21"/>
          <w:szCs w:val="21"/>
        </w:rPr>
        <w:t xml:space="preserve"> It becomes a finding with the standard four-part finding structure and a Critical / High / Medium / Low / Informational severity rating per the Severity and Finding Standards (00 - Quality Standards folder). No special handling, no separate deliverable.</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GGUIDANCE: Note, Don't Redirect</w:t>
            </w:r>
          </w:p>
          <w:p>
            <w:pPr>
              <w:spacing w:after="40" w:before="0" w:line="276"/>
            </w:pPr>
            <w:r>
              <w:rPr>
                <w:rFonts w:ascii="Calibri" w:cs="Calibri" w:eastAsia="Calibri" w:hAnsi="Calibri"/>
                <w:color w:val="404040"/>
                <w:sz w:val="20"/>
                <w:szCs w:val="20"/>
              </w:rPr>
              <w:t xml:space="preserve">When technical uncertainty surfaces, note it and move on. Do not turn the exercise into a technology troubleshooting session. The Pulse Check measures the business response; the technical dimension is documented in the AAR, not explored in the room.</w:t>
            </w:r>
          </w:p>
        </w:tc>
      </w:tr>
    </w:tbl>
    <w:p>
      <w:r>
        <w:br w:type="page"/>
      </w:r>
    </w:p>
    <w:p>
      <w:pPr>
        <w:pStyle w:val="Heading1"/>
        <w:keepNext/>
        <w:spacing w:after="140" w:before="320"/>
      </w:pPr>
      <w:r>
        <w:rPr>
          <w:rFonts w:ascii="Calibri" w:cs="Calibri" w:eastAsia="Calibri" w:hAnsi="Calibri"/>
          <w:b/>
          <w:bCs/>
          <w:color w:val="1F3864"/>
          <w:sz w:val="30"/>
          <w:szCs w:val="30"/>
        </w:rPr>
        <w:t xml:space="preserve">Section 4: Run-of-Show</w:t>
      </w:r>
    </w:p>
    <w:p>
      <w:pPr>
        <w:pStyle w:val="Heading2"/>
        <w:keepNext/>
        <w:spacing w:after="110" w:before="240"/>
      </w:pPr>
      <w:r>
        <w:rPr>
          <w:rFonts w:ascii="Calibri" w:cs="Calibri" w:eastAsia="Calibri" w:hAnsi="Calibri"/>
          <w:b/>
          <w:bCs/>
          <w:color w:val="2E74B5"/>
          <w:sz w:val="25"/>
          <w:szCs w:val="25"/>
        </w:rPr>
        <w:t xml:space="preserve">Facilitator Run-of-Show (Minute-by-Minute)</w:t>
      </w:r>
    </w:p>
    <w:p>
      <w:pPr>
        <w:spacing w:after="120" w:before="0" w:line="276"/>
      </w:pPr>
      <w:r>
        <w:rPr>
          <w:rFonts w:ascii="Calibri" w:cs="Calibri" w:eastAsia="Calibri" w:hAnsi="Calibri"/>
          <w:color w:val="404040"/>
          <w:sz w:val="21"/>
          <w:szCs w:val="21"/>
        </w:rPr>
        <w:t xml:space="preserve">Times below assume a 2.5-hour delivery. Flex each module by ±5 minutes based on discussion quality, and protect the hot wash and closing ,  they are never cut.</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800"/>
        <w:gridCol w:w="2560"/>
        <w:gridCol w:w="6000"/>
      </w:tblGrid>
      <w:tr>
        <w:trPr>
          <w:tblHeader/>
        </w:trPr>
        <w:tc>
          <w:tcPr>
            <w:tcW w:type="dxa" w:w="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Time</w:t>
            </w:r>
          </w:p>
        </w:tc>
        <w:tc>
          <w:tcPr>
            <w:tcW w:type="dxa" w:w="25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Segment</w:t>
            </w:r>
          </w:p>
        </w:tc>
        <w:tc>
          <w:tcPr>
            <w:tcW w:type="dxa" w:w="60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Facilitator Action</w:t>
            </w:r>
          </w:p>
        </w:tc>
      </w:tr>
      <w:tr>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0:00</w:t>
            </w:r>
          </w:p>
        </w:tc>
        <w:tc>
          <w:tcPr>
            <w:tcW w:type="dxa" w:w="2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Welcome and introductions (10 min)</w:t>
            </w:r>
          </w:p>
        </w:tc>
        <w:tc>
          <w:tcPr>
            <w:tcW w:type="dxa" w:w="6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Introduce yourself, the observer, and the exercise purpose. Review ground rules. Confirm confidentiality.</w:t>
            </w:r>
          </w:p>
        </w:tc>
      </w:tr>
      <w:tr>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0:10</w:t>
            </w:r>
          </w:p>
        </w:tc>
        <w:tc>
          <w:tcPr>
            <w:tcW w:type="dxa" w:w="2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Scenario introduction (5 min)</w:t>
            </w:r>
          </w:p>
        </w:tc>
        <w:tc>
          <w:tcPr>
            <w:tcW w:type="dxa" w:w="6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Set the scene. Deliver background. Establish initial conditions.</w:t>
            </w:r>
          </w:p>
        </w:tc>
      </w:tr>
      <w:tr>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0:15</w:t>
            </w:r>
          </w:p>
        </w:tc>
        <w:tc>
          <w:tcPr>
            <w:tcW w:type="dxa" w:w="2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Module 1 (25–30 min)</w:t>
            </w:r>
          </w:p>
        </w:tc>
        <w:tc>
          <w:tcPr>
            <w:tcW w:type="dxa" w:w="6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Deliver injects 1–3. Facilitate discussion on initial response. Invite all functional areas.</w:t>
            </w:r>
          </w:p>
        </w:tc>
      </w:tr>
      <w:tr>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0:45</w:t>
            </w:r>
          </w:p>
        </w:tc>
        <w:tc>
          <w:tcPr>
            <w:tcW w:type="dxa" w:w="2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Module 2 (25–30 min)</w:t>
            </w:r>
          </w:p>
        </w:tc>
        <w:tc>
          <w:tcPr>
            <w:tcW w:type="dxa" w:w="6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Deliver injects 4–6. Escalation, communication, stakeholder management.</w:t>
            </w:r>
          </w:p>
        </w:tc>
      </w:tr>
      <w:tr>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1:15</w:t>
            </w:r>
          </w:p>
        </w:tc>
        <w:tc>
          <w:tcPr>
            <w:tcW w:type="dxa" w:w="2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Break (10 min)</w:t>
            </w:r>
          </w:p>
        </w:tc>
        <w:tc>
          <w:tcPr>
            <w:tcW w:type="dxa" w:w="6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Observer compiles initial notes. Facilitator adjusts pacing.</w:t>
            </w:r>
          </w:p>
        </w:tc>
      </w:tr>
      <w:tr>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1:25</w:t>
            </w:r>
          </w:p>
        </w:tc>
        <w:tc>
          <w:tcPr>
            <w:tcW w:type="dxa" w:w="2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Module 3 (25–30 min)</w:t>
            </w:r>
          </w:p>
        </w:tc>
        <w:tc>
          <w:tcPr>
            <w:tcW w:type="dxa" w:w="6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Deliver injects 7–9. Recovery, notification, long-term implications.</w:t>
            </w:r>
          </w:p>
        </w:tc>
      </w:tr>
      <w:tr>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1:55</w:t>
            </w:r>
          </w:p>
        </w:tc>
        <w:tc>
          <w:tcPr>
            <w:tcW w:type="dxa" w:w="2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Module 4 if applicable (15 min)</w:t>
            </w:r>
          </w:p>
        </w:tc>
        <w:tc>
          <w:tcPr>
            <w:tcW w:type="dxa" w:w="6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Final inject. Strategic implications, prevention.</w:t>
            </w:r>
          </w:p>
        </w:tc>
      </w:tr>
      <w:tr>
        <w:tc>
          <w:tcPr>
            <w:tcW w:type="dxa" w:w="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2:10</w:t>
            </w:r>
          </w:p>
        </w:tc>
        <w:tc>
          <w:tcPr>
            <w:tcW w:type="dxa" w:w="2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Hot wash (15 min)</w:t>
            </w:r>
          </w:p>
        </w:tc>
        <w:tc>
          <w:tcPr>
            <w:tcW w:type="dxa" w:w="6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What worked? What surprised you? What would you do differently?</w:t>
            </w:r>
          </w:p>
        </w:tc>
      </w:tr>
      <w:tr>
        <w:tc>
          <w:tcPr>
            <w:tcW w:type="dxa" w:w="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2:25</w:t>
            </w:r>
          </w:p>
        </w:tc>
        <w:tc>
          <w:tcPr>
            <w:tcW w:type="dxa" w:w="2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Closing (10 min)</w:t>
            </w:r>
          </w:p>
        </w:tc>
        <w:tc>
          <w:tcPr>
            <w:tcW w:type="dxa" w:w="6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Preview AAR timeline. Advisory relationship framing. Feedback forms. Thank participants.</w:t>
            </w:r>
          </w:p>
        </w:tc>
      </w:tr>
    </w:tbl>
    <w:p>
      <w:pPr>
        <w:spacing w:after="120"/>
      </w:pPr>
    </w:p>
    <w:p>
      <w:pPr>
        <w:pStyle w:val="Heading2"/>
        <w:keepNext/>
        <w:spacing w:after="110" w:before="240"/>
      </w:pPr>
      <w:r>
        <w:rPr>
          <w:rFonts w:ascii="Calibri" w:cs="Calibri" w:eastAsia="Calibri" w:hAnsi="Calibri"/>
          <w:b/>
          <w:bCs/>
          <w:color w:val="2E74B5"/>
          <w:sz w:val="25"/>
          <w:szCs w:val="25"/>
        </w:rPr>
        <w:t xml:space="preserve">Participant Agenda Template</w:t>
      </w:r>
    </w:p>
    <w:p>
      <w:pPr>
        <w:spacing w:after="120" w:before="0" w:line="276"/>
      </w:pPr>
      <w:r>
        <w:rPr>
          <w:rFonts w:ascii="Calibri" w:cs="Calibri" w:eastAsia="Calibri" w:hAnsi="Calibri"/>
          <w:color w:val="404040"/>
          <w:sz w:val="21"/>
          <w:szCs w:val="21"/>
        </w:rPr>
        <w:t xml:space="preserve">Populate this agenda with scenario-specific module titles and timings before the exercise. A printed copy goes at each participant's seat (in-person) or is shared digitally (virtual). The facilitator works from the annotated run-of-show above; participants see this simpler version.</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Exercise title</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[TITLE]</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[DATE]</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Time</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[START] – [END]</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Location</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[LOCATION / PLATFORM]</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[NAME]</w:t>
            </w:r>
          </w:p>
        </w:tc>
      </w:tr>
    </w:tbl>
    <w:p>
      <w:pPr>
        <w:spacing w:after="120"/>
      </w:pP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000"/>
        <w:gridCol w:w="900"/>
        <w:gridCol w:w="2200"/>
        <w:gridCol w:w="5260"/>
      </w:tblGrid>
      <w:tr>
        <w:trPr>
          <w:tblHeader/>
        </w:trPr>
        <w:tc>
          <w:tcPr>
            <w:tcW w:type="dxa" w:w="10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Time</w:t>
            </w:r>
          </w:p>
        </w:tc>
        <w:tc>
          <w:tcPr>
            <w:tcW w:type="dxa" w:w="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Duration</w:t>
            </w:r>
          </w:p>
        </w:tc>
        <w:tc>
          <w:tcPr>
            <w:tcW w:type="dxa" w:w="22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Segment</w:t>
            </w:r>
          </w:p>
        </w:tc>
        <w:tc>
          <w:tcPr>
            <w:tcW w:type="dxa" w:w="5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Description</w:t>
            </w:r>
          </w:p>
        </w:tc>
      </w:tr>
      <w:tr>
        <w:tc>
          <w:tcPr>
            <w:tcW w:type="dxa" w:w="1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[START]</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 min</w:t>
            </w:r>
          </w:p>
        </w:tc>
        <w:tc>
          <w:tcPr>
            <w:tcW w:type="dxa" w:w="2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Welcome and Introductions</w:t>
            </w:r>
          </w:p>
        </w:tc>
        <w:tc>
          <w:tcPr>
            <w:tcW w:type="dxa" w:w="5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 welcome, exercise purpose, participant introductions, ground rules review</w:t>
            </w:r>
          </w:p>
        </w:tc>
      </w:tr>
      <w:tr>
        <w:tc>
          <w:tcPr>
            <w:tcW w:type="dxa" w:w="1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 min</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 min</w:t>
            </w:r>
          </w:p>
        </w:tc>
        <w:tc>
          <w:tcPr>
            <w:tcW w:type="dxa" w:w="2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Scenario Introduction</w:t>
            </w:r>
          </w:p>
        </w:tc>
        <w:tc>
          <w:tcPr>
            <w:tcW w:type="dxa" w:w="5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Background briefing, initial conditions, exercise parameters</w:t>
            </w:r>
          </w:p>
        </w:tc>
      </w:tr>
      <w:tr>
        <w:tc>
          <w:tcPr>
            <w:tcW w:type="dxa" w:w="1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+15 min</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25 min</w:t>
            </w:r>
          </w:p>
        </w:tc>
        <w:tc>
          <w:tcPr>
            <w:tcW w:type="dxa" w:w="2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Module 1: [Title]</w:t>
            </w:r>
          </w:p>
        </w:tc>
        <w:tc>
          <w:tcPr>
            <w:tcW w:type="dxa" w:w="5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First inject delivered. Facilitated discussion on initial response, detection, classification</w:t>
            </w:r>
          </w:p>
        </w:tc>
      </w:tr>
      <w:tr>
        <w:tc>
          <w:tcPr>
            <w:tcW w:type="dxa" w:w="1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+40 min</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25 min</w:t>
            </w:r>
          </w:p>
        </w:tc>
        <w:tc>
          <w:tcPr>
            <w:tcW w:type="dxa" w:w="2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Module 2: [Title]</w:t>
            </w:r>
          </w:p>
        </w:tc>
        <w:tc>
          <w:tcPr>
            <w:tcW w:type="dxa" w:w="5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Second inject. Escalation decisions, communication, containment/initial response</w:t>
            </w:r>
          </w:p>
        </w:tc>
      </w:tr>
      <w:tr>
        <w:tc>
          <w:tcPr>
            <w:tcW w:type="dxa" w:w="1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+65 min</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 min</w:t>
            </w:r>
          </w:p>
        </w:tc>
        <w:tc>
          <w:tcPr>
            <w:tcW w:type="dxa" w:w="2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Break</w:t>
            </w:r>
          </w:p>
        </w:tc>
        <w:tc>
          <w:tcPr>
            <w:tcW w:type="dxa" w:w="5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
            </w:r>
          </w:p>
        </w:tc>
      </w:tr>
      <w:tr>
        <w:tc>
          <w:tcPr>
            <w:tcW w:type="dxa" w:w="1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+75 min</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25 min</w:t>
            </w:r>
          </w:p>
        </w:tc>
        <w:tc>
          <w:tcPr>
            <w:tcW w:type="dxa" w:w="2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Module 3: [Title]</w:t>
            </w:r>
          </w:p>
        </w:tc>
        <w:tc>
          <w:tcPr>
            <w:tcW w:type="dxa" w:w="5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Third inject. Recovery, notification, stakeholder management</w:t>
            </w:r>
          </w:p>
        </w:tc>
      </w:tr>
      <w:tr>
        <w:tc>
          <w:tcPr>
            <w:tcW w:type="dxa" w:w="1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+100 min</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15 min</w:t>
            </w:r>
          </w:p>
        </w:tc>
        <w:tc>
          <w:tcPr>
            <w:tcW w:type="dxa" w:w="2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Module 4: [Title] (if applicable)</w:t>
            </w:r>
          </w:p>
        </w:tc>
        <w:tc>
          <w:tcPr>
            <w:tcW w:type="dxa" w:w="5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Final inject. Long-term recovery, lessons learned, strategic implications</w:t>
            </w:r>
          </w:p>
        </w:tc>
      </w:tr>
      <w:tr>
        <w:tc>
          <w:tcPr>
            <w:tcW w:type="dxa" w:w="10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+115 min</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15 min</w:t>
            </w:r>
          </w:p>
        </w:tc>
        <w:tc>
          <w:tcPr>
            <w:tcW w:type="dxa" w:w="2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Hot Wash / Debrief</w:t>
            </w:r>
          </w:p>
        </w:tc>
        <w:tc>
          <w:tcPr>
            <w:tcW w:type="dxa" w:w="5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Participant-led discussion: what worked, what surprised you, what would you do differently</w:t>
            </w:r>
          </w:p>
        </w:tc>
      </w:tr>
      <w:tr>
        <w:tc>
          <w:tcPr>
            <w:tcW w:type="dxa" w:w="10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+130 min</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 min</w:t>
            </w:r>
          </w:p>
        </w:tc>
        <w:tc>
          <w:tcPr>
            <w:tcW w:type="dxa" w:w="2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Feedback and Closing</w:t>
            </w:r>
          </w:p>
        </w:tc>
        <w:tc>
          <w:tcPr>
            <w:tcW w:type="dxa" w:w="5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Participant feedback forms distributed. Next steps and timeline communicated. Thank you.</w:t>
            </w:r>
          </w:p>
        </w:tc>
      </w:tr>
    </w:tbl>
    <w:p>
      <w:pPr>
        <w:pStyle w:val="Heading1"/>
        <w:keepNext/>
        <w:spacing w:after="140" w:before="320"/>
      </w:pPr>
      <w:r>
        <w:rPr>
          <w:rFonts w:ascii="Calibri" w:cs="Calibri" w:eastAsia="Calibri" w:hAnsi="Calibri"/>
          <w:b/>
          <w:bCs/>
          <w:color w:val="1F3864"/>
          <w:sz w:val="30"/>
          <w:szCs w:val="30"/>
        </w:rPr>
        <w:t xml:space="preserve">Section 5: The Hot Wash</w:t>
      </w:r>
    </w:p>
    <w:p>
      <w:pPr>
        <w:spacing w:after="120" w:before="0" w:line="276"/>
      </w:pPr>
      <w:r>
        <w:rPr>
          <w:rFonts w:ascii="Calibri" w:cs="Calibri" w:eastAsia="Calibri" w:hAnsi="Calibri"/>
          <w:color w:val="404040"/>
          <w:sz w:val="21"/>
          <w:szCs w:val="21"/>
        </w:rPr>
        <w:t xml:space="preserve">The hot wash is a </w:t>
      </w:r>
      <w:r>
        <w:rPr>
          <w:rFonts w:ascii="Calibri" w:cs="Calibri" w:eastAsia="Calibri" w:hAnsi="Calibri"/>
          <w:b/>
          <w:bCs/>
          <w:color w:val="404040"/>
          <w:sz w:val="21"/>
          <w:szCs w:val="21"/>
        </w:rPr>
        <w:t xml:space="preserve">15-minute, participant-led debrief</w:t>
      </w:r>
      <w:r>
        <w:rPr>
          <w:rFonts w:ascii="Calibri" w:cs="Calibri" w:eastAsia="Calibri" w:hAnsi="Calibri"/>
          <w:color w:val="404040"/>
          <w:sz w:val="21"/>
          <w:szCs w:val="21"/>
        </w:rPr>
        <w:t xml:space="preserve"> immediately following the final module. The facilitator poses three questions, then gets out of the way:</w:t>
      </w:r>
    </w:p>
    <w:p>
      <w:pPr>
        <w:pStyle w:val="ListParagraph"/>
        <w:numPr>
          <w:ilvl w:val="0"/>
          <w:numId w:val="4"/>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What worked?</w:t>
      </w:r>
      <w:r>
        <w:rPr>
          <w:rFonts w:ascii="Calibri" w:cs="Calibri" w:eastAsia="Calibri" w:hAnsi="Calibri"/>
          <w:color w:val="404040"/>
          <w:sz w:val="21"/>
          <w:szCs w:val="21"/>
        </w:rPr>
        <w:t xml:space="preserve"> Where did the team feel confident and coordinated?</w:t>
      </w:r>
    </w:p>
    <w:p>
      <w:pPr>
        <w:pStyle w:val="ListParagraph"/>
        <w:numPr>
          <w:ilvl w:val="0"/>
          <w:numId w:val="4"/>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What surprised you?</w:t>
      </w:r>
      <w:r>
        <w:rPr>
          <w:rFonts w:ascii="Calibri" w:cs="Calibri" w:eastAsia="Calibri" w:hAnsi="Calibri"/>
          <w:color w:val="404040"/>
          <w:sz w:val="21"/>
          <w:szCs w:val="21"/>
        </w:rPr>
        <w:t xml:space="preserve"> What did the scenario reveal that participants didn't expect?</w:t>
      </w:r>
    </w:p>
    <w:p>
      <w:pPr>
        <w:pStyle w:val="ListParagraph"/>
        <w:numPr>
          <w:ilvl w:val="0"/>
          <w:numId w:val="4"/>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What would you do differently?</w:t>
      </w:r>
      <w:r>
        <w:rPr>
          <w:rFonts w:ascii="Calibri" w:cs="Calibri" w:eastAsia="Calibri" w:hAnsi="Calibri"/>
          <w:color w:val="404040"/>
          <w:sz w:val="21"/>
          <w:szCs w:val="21"/>
        </w:rPr>
        <w:t xml:space="preserve"> Both during the scenario, and in preparation before a real event.</w:t>
      </w:r>
    </w:p>
    <w:p>
      <w:pPr>
        <w:spacing w:after="120" w:before="0" w:line="276"/>
      </w:pPr>
      <w:r>
        <w:rPr>
          <w:rFonts w:ascii="Calibri" w:cs="Calibri" w:eastAsia="Calibri" w:hAnsi="Calibri"/>
          <w:color w:val="404040"/>
          <w:sz w:val="21"/>
          <w:szCs w:val="21"/>
        </w:rPr>
        <w:t xml:space="preserve">Do not correct, analyze, or respond to the substance in the room ,  capture it. The observer records hot wash comments in the Observer Kit (05 - Deliver folder) hot wash tables; they are among the most quotable material in the AAR. If the room goes quiet, invite specific functions by role, exactly as during the modules.</w:t>
      </w:r>
    </w:p>
    <w:p>
      <w:pPr>
        <w:pStyle w:val="Heading1"/>
        <w:keepNext/>
        <w:spacing w:after="140" w:before="320"/>
      </w:pPr>
      <w:r>
        <w:rPr>
          <w:rFonts w:ascii="Calibri" w:cs="Calibri" w:eastAsia="Calibri" w:hAnsi="Calibri"/>
          <w:b/>
          <w:bCs/>
          <w:color w:val="1F3864"/>
          <w:sz w:val="30"/>
          <w:szCs w:val="30"/>
        </w:rPr>
        <w:t xml:space="preserve">Section 6: The Closing Conversation</w:t>
      </w:r>
    </w:p>
    <w:p>
      <w:pPr>
        <w:spacing w:after="120" w:before="0" w:line="276"/>
      </w:pPr>
      <w:r>
        <w:rPr>
          <w:rFonts w:ascii="Calibri" w:cs="Calibri" w:eastAsia="Calibri" w:hAnsi="Calibri"/>
          <w:color w:val="404040"/>
          <w:sz w:val="21"/>
          <w:szCs w:val="21"/>
        </w:rPr>
        <w:t xml:space="preserve">The closing conversation is the most important positioning moment of the day. This is where the Pulse Check transitions from an exercise to the first step in an advisory relationship.</w:t>
      </w:r>
    </w:p>
    <w:p>
      <w:pPr>
        <w:pStyle w:val="Heading2"/>
        <w:keepNext/>
        <w:spacing w:after="110" w:before="240"/>
      </w:pPr>
      <w:r>
        <w:rPr>
          <w:rFonts w:ascii="Calibri" w:cs="Calibri" w:eastAsia="Calibri" w:hAnsi="Calibri"/>
          <w:b/>
          <w:bCs/>
          <w:color w:val="2E74B5"/>
          <w:sz w:val="25"/>
          <w:szCs w:val="25"/>
        </w:rPr>
        <w:t xml:space="preserve">What to Say</w:t>
      </w:r>
    </w:p>
    <w:p>
      <w:pPr>
        <w:spacing w:after="120" w:before="0" w:line="276"/>
      </w:pPr>
      <w:r>
        <w:rPr>
          <w:rFonts w:ascii="Calibri" w:cs="Calibri" w:eastAsia="Calibri" w:hAnsi="Calibri"/>
          <w:color w:val="404040"/>
          <w:sz w:val="21"/>
          <w:szCs w:val="21"/>
        </w:rPr>
        <w:t xml:space="preserve">“Thank you for your participation today. The quality of your discussion gives us excellent material for the After-Action Report, which we will be working with you to prepare. The report will include specific findings rated by severity, recommended actions with timelines, and a resilience roadmap that prioritizes what to address first.”</w:t>
      </w:r>
    </w:p>
    <w:p>
      <w:pPr>
        <w:spacing w:after="120" w:before="0" w:line="276"/>
      </w:pPr>
      <w:r>
        <w:rPr>
          <w:rFonts w:ascii="Calibri" w:cs="Calibri" w:eastAsia="Calibri" w:hAnsi="Calibri"/>
          <w:color w:val="404040"/>
          <w:sz w:val="21"/>
          <w:szCs w:val="21"/>
        </w:rPr>
        <w:t xml:space="preserve">“[Exercise coordinator], I'll follow up with you this week to schedule the After-Action Meeting where we review the findings together. The Pulse Check gives us a shared picture of where things stand today. Everything we work on together from here builds on that picture.”</w:t>
      </w:r>
    </w:p>
    <w:p>
      <w:pPr>
        <w:spacing w:after="120" w:before="0" w:line="276"/>
      </w:pPr>
      <w:r>
        <w:rPr>
          <w:rFonts w:ascii="Calibri" w:cs="Calibri" w:eastAsia="Calibri" w:hAnsi="Calibri"/>
          <w:color w:val="404040"/>
          <w:sz w:val="21"/>
          <w:szCs w:val="21"/>
        </w:rPr>
        <w:t xml:space="preserve">Then confirm the AAR timeline out loud: </w:t>
      </w:r>
      <w:r>
        <w:rPr>
          <w:rFonts w:ascii="Calibri" w:cs="Calibri" w:eastAsia="Calibri" w:hAnsi="Calibri"/>
          <w:b/>
          <w:bCs/>
          <w:color w:val="404040"/>
          <w:sz w:val="21"/>
          <w:szCs w:val="21"/>
        </w:rPr>
        <w:t xml:space="preserve">draft After-Action Report within 15 business days; final within 30 business days</w:t>
      </w:r>
      <w:r>
        <w:rPr>
          <w:rFonts w:ascii="Calibri" w:cs="Calibri" w:eastAsia="Calibri" w:hAnsi="Calibri"/>
          <w:color w:val="404040"/>
          <w:sz w:val="21"/>
          <w:szCs w:val="21"/>
        </w:rPr>
        <w:t xml:space="preserve"> after one revision round based on the client's comments. Schedule the After-Action Meeting with the exercise coordinator before you leave the room, or on the same-week follow-up call.</w:t>
      </w:r>
    </w:p>
    <w:p>
      <w:pPr>
        <w:pStyle w:val="Heading2"/>
        <w:keepNext/>
        <w:spacing w:after="110" w:before="240"/>
      </w:pPr>
      <w:r>
        <w:rPr>
          <w:rFonts w:ascii="Calibri" w:cs="Calibri" w:eastAsia="Calibri" w:hAnsi="Calibri"/>
          <w:b/>
          <w:bCs/>
          <w:color w:val="2E74B5"/>
          <w:sz w:val="25"/>
          <w:szCs w:val="25"/>
        </w:rPr>
        <w:t xml:space="preserve">What NOT to Say</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NNOTE: What NOT to Say</w:t>
            </w:r>
          </w:p>
          <w:p>
            <w:pPr>
              <w:spacing w:after="40" w:before="0" w:line="276"/>
            </w:pPr>
            <w:r>
              <w:rPr>
                <w:rFonts w:ascii="Calibri" w:cs="Calibri" w:eastAsia="Calibri" w:hAnsi="Calibri"/>
                <w:color w:val="404040"/>
                <w:sz w:val="20"/>
                <w:szCs w:val="20"/>
              </w:rPr>
              <w:t xml:space="preserve">Do not mention specific products, services, or pricing during the closing. Do not describe your managed security stack. Do not create urgency. The AAR and the findings will surface the natural connections between gaps and capabilities. Let the deliverable do the work. The advisory relationship is built on trust, and trust starts with not selling in the room where you just measured.</w:t>
            </w:r>
          </w:p>
        </w:tc>
      </w:tr>
    </w:tbl>
    <w:p>
      <w:r>
        <w:br w:type="page"/>
      </w:r>
    </w:p>
    <w:p>
      <w:pPr>
        <w:pStyle w:val="Heading1"/>
        <w:keepNext/>
        <w:spacing w:after="140" w:before="320"/>
      </w:pPr>
      <w:r>
        <w:rPr>
          <w:rFonts w:ascii="Calibri" w:cs="Calibri" w:eastAsia="Calibri" w:hAnsi="Calibri"/>
          <w:b/>
          <w:bCs/>
          <w:color w:val="1F3864"/>
          <w:sz w:val="30"/>
          <w:szCs w:val="30"/>
        </w:rPr>
        <w:t xml:space="preserve">Section 7: Real Incident During Exercise Protocol</w:t>
      </w:r>
    </w:p>
    <w:p>
      <w:pPr>
        <w:spacing w:after="120" w:before="0" w:line="276"/>
      </w:pPr>
      <w:r>
        <w:rPr>
          <w:rFonts w:ascii="Calibri" w:cs="Calibri" w:eastAsia="Calibri" w:hAnsi="Calibri"/>
          <w:color w:val="404040"/>
          <w:sz w:val="21"/>
          <w:szCs w:val="21"/>
        </w:rPr>
        <w:t xml:space="preserve">This protocol defines the procedures for handling a genuine security incident, safety emergency, or operational disruption that occurs during the exercise. The facilitator and observer must review it before every exercise. It is referenced by the day-of confirmation checklist in the Planning Workbook (03 - Plan folder) and by the Observer Kit (05 - Deliver folder).</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BF8F00" w:sz="24"/>
              <w:bottom w:val="none" w:color="FFFFFF" w:sz="0"/>
              <w:right w:val="none" w:color="FFFFFF" w:sz="0"/>
            </w:tcBorders>
            <w:shd w:fill="FFF2CC" w:val="clear"/>
            <w:tcMar>
              <w:top w:type="dxa" w:w="100"/>
              <w:left w:type="dxa" w:w="160"/>
              <w:bottom w:type="dxa" w:w="100"/>
              <w:right w:type="dxa" w:w="160"/>
            </w:tcMar>
          </w:tcPr>
          <w:p>
            <w:pPr>
              <w:spacing w:after="60"/>
            </w:pPr>
            <w:r>
              <w:rPr>
                <w:rFonts w:ascii="Calibri" w:cs="Calibri" w:eastAsia="Calibri" w:hAnsi="Calibri"/>
                <w:b/>
                <w:bCs/>
                <w:color w:val="BF8F00"/>
                <w:sz w:val="20"/>
                <w:szCs w:val="20"/>
              </w:rPr>
              <w:t xml:space="preserve">▶  AACTION REQUIRED: CRITICAL RULE</w:t>
            </w:r>
          </w:p>
          <w:p>
            <w:pPr>
              <w:spacing w:after="40" w:before="0" w:line="276"/>
            </w:pPr>
            <w:r>
              <w:rPr>
                <w:rFonts w:ascii="Calibri" w:cs="Calibri" w:eastAsia="Calibri" w:hAnsi="Calibri"/>
                <w:color w:val="404040"/>
                <w:sz w:val="20"/>
                <w:szCs w:val="20"/>
              </w:rPr>
              <w:t xml:space="preserve">Real incidents always take priority over the exercise. When in doubt, pause the exercise. There is no scenario in which continuing an exercise during a real incident is acceptable.</w:t>
            </w:r>
          </w:p>
        </w:tc>
      </w:tr>
    </w:tbl>
    <w:p>
      <w:pPr>
        <w:spacing w:after="120"/>
      </w:pPr>
    </w:p>
    <w:p>
      <w:pPr>
        <w:pStyle w:val="Heading2"/>
        <w:keepNext/>
        <w:spacing w:after="110" w:before="240"/>
      </w:pPr>
      <w:r>
        <w:rPr>
          <w:rFonts w:ascii="Calibri" w:cs="Calibri" w:eastAsia="Calibri" w:hAnsi="Calibri"/>
          <w:b/>
          <w:bCs/>
          <w:color w:val="2E74B5"/>
          <w:sz w:val="25"/>
          <w:szCs w:val="25"/>
        </w:rPr>
        <w:t xml:space="preserve">Type 1: Genuine Cybersecurity Incident</w:t>
      </w:r>
    </w:p>
    <w:p>
      <w:pPr>
        <w:spacing w:after="120" w:before="0" w:line="276"/>
      </w:pPr>
      <w:r>
        <w:rPr>
          <w:rFonts w:ascii="Calibri" w:cs="Calibri" w:eastAsia="Calibri" w:hAnsi="Calibri"/>
          <w:color w:val="404040"/>
          <w:sz w:val="21"/>
          <w:szCs w:val="21"/>
        </w:rPr>
        <w:t xml:space="preserve">A real security event is detected during, or reported to a participant during, the exercise: malware alert, unauthorized access notification, data breach indication, ransomware encryption, or similar.</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Immediate actions:</w:t>
      </w:r>
      <w:r>
        <w:rPr>
          <w:rFonts w:ascii="Calibri" w:cs="Calibri" w:eastAsia="Calibri" w:hAnsi="Calibri"/>
          <w:color w:val="404040"/>
          <w:sz w:val="21"/>
          <w:szCs w:val="21"/>
        </w:rPr>
        <w:t xml:space="preserve"/>
      </w:r>
    </w:p>
    <w:p>
      <w:pPr>
        <w:pStyle w:val="ListParagraph"/>
        <w:numPr>
          <w:ilvl w:val="0"/>
          <w:numId w:val="5"/>
        </w:numPr>
        <w:spacing w:after="80" w:line="276"/>
      </w:pPr>
      <w:r>
        <w:rPr>
          <w:rFonts w:ascii="Calibri" w:cs="Calibri" w:eastAsia="Calibri" w:hAnsi="Calibri"/>
          <w:color w:val="404040"/>
          <w:sz w:val="21"/>
          <w:szCs w:val="21"/>
        </w:rPr>
        <w:t xml:space="preserve">Facilitator announces: “We are pausing the exercise. [Participant name/role], please confirm whether this is a real event or related to the exercise.”</w:t>
      </w:r>
    </w:p>
    <w:p>
      <w:pPr>
        <w:pStyle w:val="ListParagraph"/>
        <w:numPr>
          <w:ilvl w:val="0"/>
          <w:numId w:val="5"/>
        </w:numPr>
        <w:spacing w:after="80" w:line="276"/>
      </w:pPr>
      <w:r>
        <w:rPr>
          <w:rFonts w:ascii="Calibri" w:cs="Calibri" w:eastAsia="Calibri" w:hAnsi="Calibri"/>
          <w:color w:val="404040"/>
          <w:sz w:val="21"/>
          <w:szCs w:val="21"/>
        </w:rPr>
        <w:t xml:space="preserve">If confirmed real, facilitator announces: “The exercise is suspended. This is a real incident. Please transition to your actual incident response procedures. The exercise team will step aside.”</w:t>
      </w:r>
    </w:p>
    <w:p>
      <w:pPr>
        <w:pStyle w:val="ListParagraph"/>
        <w:numPr>
          <w:ilvl w:val="0"/>
          <w:numId w:val="5"/>
        </w:numPr>
        <w:spacing w:after="80" w:line="276"/>
      </w:pPr>
      <w:r>
        <w:rPr>
          <w:rFonts w:ascii="Calibri" w:cs="Calibri" w:eastAsia="Calibri" w:hAnsi="Calibri"/>
          <w:color w:val="404040"/>
          <w:sz w:val="21"/>
          <w:szCs w:val="21"/>
        </w:rPr>
        <w:t xml:space="preserve">Facilitator and observer physically separate exercise materials from the real incident response area.</w:t>
      </w:r>
    </w:p>
    <w:p>
      <w:pPr>
        <w:pStyle w:val="ListParagraph"/>
        <w:numPr>
          <w:ilvl w:val="0"/>
          <w:numId w:val="5"/>
        </w:numPr>
        <w:spacing w:after="80" w:line="276"/>
      </w:pPr>
      <w:r>
        <w:rPr>
          <w:rFonts w:ascii="Calibri" w:cs="Calibri" w:eastAsia="Calibri" w:hAnsi="Calibri"/>
          <w:color w:val="404040"/>
          <w:sz w:val="21"/>
          <w:szCs w:val="21"/>
        </w:rPr>
        <w:t xml:space="preserve">Facilitator contacts the client exercise coordinator to confirm termination and discuss rescheduling.</w:t>
      </w:r>
    </w:p>
    <w:p>
      <w:pPr>
        <w:pStyle w:val="Heading2"/>
        <w:keepNext/>
        <w:spacing w:after="110" w:before="240"/>
      </w:pPr>
      <w:r>
        <w:rPr>
          <w:rFonts w:ascii="Calibri" w:cs="Calibri" w:eastAsia="Calibri" w:hAnsi="Calibri"/>
          <w:b/>
          <w:bCs/>
          <w:color w:val="2E74B5"/>
          <w:sz w:val="25"/>
          <w:szCs w:val="25"/>
        </w:rPr>
        <w:t xml:space="preserve">Type 2: Safety Emergency</w:t>
      </w:r>
    </w:p>
    <w:p>
      <w:pPr>
        <w:spacing w:after="120" w:before="0" w:line="276"/>
      </w:pPr>
      <w:r>
        <w:rPr>
          <w:rFonts w:ascii="Calibri" w:cs="Calibri" w:eastAsia="Calibri" w:hAnsi="Calibri"/>
          <w:color w:val="404040"/>
          <w:sz w:val="21"/>
          <w:szCs w:val="21"/>
        </w:rPr>
        <w:t xml:space="preserve">A medical emergency, building evacuation, fire alarm, severe weather warning, or other safety event occurs.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Immediate actions:</w:t>
      </w:r>
      <w:r>
        <w:rPr>
          <w:rFonts w:ascii="Calibri" w:cs="Calibri" w:eastAsia="Calibri" w:hAnsi="Calibri"/>
          <w:color w:val="404040"/>
          <w:sz w:val="21"/>
          <w:szCs w:val="21"/>
        </w:rPr>
        <w:t xml:space="preserve"/>
      </w:r>
    </w:p>
    <w:p>
      <w:pPr>
        <w:pStyle w:val="ListParagraph"/>
        <w:numPr>
          <w:ilvl w:val="0"/>
          <w:numId w:val="6"/>
        </w:numPr>
        <w:spacing w:after="80" w:line="276"/>
      </w:pPr>
      <w:r>
        <w:rPr>
          <w:rFonts w:ascii="Calibri" w:cs="Calibri" w:eastAsia="Calibri" w:hAnsi="Calibri"/>
          <w:color w:val="404040"/>
          <w:sz w:val="21"/>
          <w:szCs w:val="21"/>
        </w:rPr>
        <w:t xml:space="preserve">Facilitator announces: “The exercise is paused. Please follow your normal emergency procedures.”</w:t>
      </w:r>
    </w:p>
    <w:p>
      <w:pPr>
        <w:pStyle w:val="ListParagraph"/>
        <w:numPr>
          <w:ilvl w:val="0"/>
          <w:numId w:val="6"/>
        </w:numPr>
        <w:spacing w:after="80" w:line="276"/>
      </w:pPr>
      <w:r>
        <w:rPr>
          <w:rFonts w:ascii="Calibri" w:cs="Calibri" w:eastAsia="Calibri" w:hAnsi="Calibri"/>
          <w:color w:val="404040"/>
          <w:sz w:val="21"/>
          <w:szCs w:val="21"/>
        </w:rPr>
        <w:t xml:space="preserve">Facilitator assists with evacuation or emergency response as appropriate. The exercise is secondary to safety.</w:t>
      </w:r>
    </w:p>
    <w:p>
      <w:pPr>
        <w:pStyle w:val="ListParagraph"/>
        <w:numPr>
          <w:ilvl w:val="0"/>
          <w:numId w:val="6"/>
        </w:numPr>
        <w:spacing w:after="80" w:line="276"/>
      </w:pPr>
      <w:r>
        <w:rPr>
          <w:rFonts w:ascii="Calibri" w:cs="Calibri" w:eastAsia="Calibri" w:hAnsi="Calibri"/>
          <w:color w:val="404040"/>
          <w:sz w:val="21"/>
          <w:szCs w:val="21"/>
        </w:rPr>
        <w:t xml:space="preserve">After the emergency is resolved, the facilitator and client coordinator decide whether to resume, reschedule, or terminate.</w:t>
      </w:r>
    </w:p>
    <w:p>
      <w:pPr>
        <w:pStyle w:val="Heading2"/>
        <w:keepNext/>
        <w:spacing w:after="110" w:before="240"/>
      </w:pPr>
      <w:r>
        <w:rPr>
          <w:rFonts w:ascii="Calibri" w:cs="Calibri" w:eastAsia="Calibri" w:hAnsi="Calibri"/>
          <w:b/>
          <w:bCs/>
          <w:color w:val="2E74B5"/>
          <w:sz w:val="25"/>
          <w:szCs w:val="25"/>
        </w:rPr>
        <w:t xml:space="preserve">Type 3: Operational Disruption</w:t>
      </w:r>
    </w:p>
    <w:p>
      <w:pPr>
        <w:spacing w:after="120" w:before="0" w:line="276"/>
      </w:pPr>
      <w:r>
        <w:rPr>
          <w:rFonts w:ascii="Calibri" w:cs="Calibri" w:eastAsia="Calibri" w:hAnsi="Calibri"/>
          <w:color w:val="404040"/>
          <w:sz w:val="21"/>
          <w:szCs w:val="21"/>
        </w:rPr>
        <w:t xml:space="preserve">A non-emergency but significant disruption occurs: power outage, internet failure, a key stakeholder pulled away for a business emergency, or the client receives urgent news requiring executive attention. Use this decision framework:</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1860"/>
        <w:gridCol w:w="2500"/>
        <w:gridCol w:w="2500"/>
        <w:gridCol w:w="2500"/>
      </w:tblGrid>
      <w:tr>
        <w:trPr>
          <w:tblHeader/>
        </w:trPr>
        <w:tc>
          <w:tcPr>
            <w:tcW w:type="dxa" w:w="1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Disruption</w:t>
            </w:r>
          </w:p>
        </w:tc>
        <w:tc>
          <w:tcPr>
            <w:tcW w:type="dxa" w:w="25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Duration &lt; 15 min</w:t>
            </w:r>
          </w:p>
        </w:tc>
        <w:tc>
          <w:tcPr>
            <w:tcW w:type="dxa" w:w="25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Duration 15–45 min</w:t>
            </w:r>
          </w:p>
        </w:tc>
        <w:tc>
          <w:tcPr>
            <w:tcW w:type="dxa" w:w="25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Duration &gt; 45 min</w:t>
            </w:r>
          </w:p>
        </w:tc>
      </w:tr>
      <w:tr>
        <w:tc>
          <w:tcPr>
            <w:tcW w:type="dxa" w:w="1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Power / internet outage</w:t>
            </w:r>
          </w:p>
        </w:tc>
        <w:tc>
          <w:tcPr>
            <w:tcW w:type="dxa" w:w="2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Pause. Resume when restored.</w:t>
            </w:r>
          </w:p>
        </w:tc>
        <w:tc>
          <w:tcPr>
            <w:tcW w:type="dxa" w:w="2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Pause. Assess whether to continue or reschedule.</w:t>
            </w:r>
          </w:p>
        </w:tc>
        <w:tc>
          <w:tcPr>
            <w:tcW w:type="dxa" w:w="2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Terminate. Reschedule per Exhibit A of the SOW.</w:t>
            </w:r>
          </w:p>
        </w:tc>
      </w:tr>
      <w:tr>
        <w:tc>
          <w:tcPr>
            <w:tcW w:type="dxa" w:w="1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stakeholder departure</w:t>
            </w:r>
          </w:p>
        </w:tc>
        <w:tc>
          <w:tcPr>
            <w:tcW w:type="dxa" w:w="2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Continue if Tier 2/3 per the Key Stakeholder Absence Framework (Planning Workbook, Section 4). Pause if Tier 1.</w:t>
            </w:r>
          </w:p>
        </w:tc>
        <w:tc>
          <w:tcPr>
            <w:tcW w:type="dxa" w:w="2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Assess per the absence framework. Continue with limitation or reschedule.</w:t>
            </w:r>
          </w:p>
        </w:tc>
        <w:tc>
          <w:tcPr>
            <w:tcW w:type="dxa" w:w="2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Terminate if Tier 1. Continue with limitation if Tier 2/3.</w:t>
            </w:r>
          </w:p>
        </w:tc>
      </w:tr>
      <w:tr>
        <w:tc>
          <w:tcPr>
            <w:tcW w:type="dxa" w:w="1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Urgent business matter</w:t>
            </w:r>
          </w:p>
        </w:tc>
        <w:tc>
          <w:tcPr>
            <w:tcW w:type="dxa" w:w="2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Brief pause. Resume when the participant returns.</w:t>
            </w:r>
          </w:p>
        </w:tc>
        <w:tc>
          <w:tcPr>
            <w:tcW w:type="dxa" w:w="2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 judgment. Continue with reduced participation or pause.</w:t>
            </w:r>
          </w:p>
        </w:tc>
        <w:tc>
          <w:tcPr>
            <w:tcW w:type="dxa" w:w="2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Terminate if the majority of participants are affected.</w:t>
            </w:r>
          </w:p>
        </w:tc>
      </w:tr>
    </w:tbl>
    <w:p>
      <w:pPr>
        <w:spacing w:after="120"/>
      </w:pPr>
    </w:p>
    <w:p>
      <w:pPr>
        <w:pStyle w:val="Heading2"/>
        <w:keepNext/>
        <w:spacing w:after="110" w:before="240"/>
      </w:pPr>
      <w:r>
        <w:rPr>
          <w:rFonts w:ascii="Calibri" w:cs="Calibri" w:eastAsia="Calibri" w:hAnsi="Calibri"/>
          <w:b/>
          <w:bCs/>
          <w:color w:val="2E74B5"/>
          <w:sz w:val="25"/>
          <w:szCs w:val="25"/>
        </w:rPr>
        <w:t xml:space="preserve">Exercise Material Handling During Real Incidents</w:t>
      </w:r>
    </w:p>
    <w:p>
      <w:pPr>
        <w:pStyle w:val="ListParagraph"/>
        <w:numPr>
          <w:ilvl w:val="0"/>
          <w:numId w:val="2"/>
        </w:numPr>
        <w:spacing w:after="80" w:line="276"/>
      </w:pPr>
      <w:r>
        <w:rPr>
          <w:rFonts w:ascii="Calibri" w:cs="Calibri" w:eastAsia="Calibri" w:hAnsi="Calibri"/>
          <w:color w:val="404040"/>
          <w:sz w:val="21"/>
          <w:szCs w:val="21"/>
        </w:rPr>
        <w:t xml:space="preserve">Immediately distinguish exercise materials from real incident documentation. Exercise materials should be collected and physically separated.</w:t>
      </w:r>
    </w:p>
    <w:p>
      <w:pPr>
        <w:pStyle w:val="ListParagraph"/>
        <w:numPr>
          <w:ilvl w:val="0"/>
          <w:numId w:val="2"/>
        </w:numPr>
        <w:spacing w:after="80" w:line="276"/>
      </w:pPr>
      <w:r>
        <w:rPr>
          <w:rFonts w:ascii="Calibri" w:cs="Calibri" w:eastAsia="Calibri" w:hAnsi="Calibri"/>
          <w:color w:val="404040"/>
          <w:sz w:val="21"/>
          <w:szCs w:val="21"/>
        </w:rPr>
        <w:t xml:space="preserve">If exercise injects (simulated emails, news articles, notifications) could be confused with real incident artifacts, the facilitator must clearly identify and segregate them.</w:t>
      </w:r>
    </w:p>
    <w:p>
      <w:pPr>
        <w:pStyle w:val="ListParagraph"/>
        <w:numPr>
          <w:ilvl w:val="0"/>
          <w:numId w:val="2"/>
        </w:numPr>
        <w:spacing w:after="80" w:line="276"/>
      </w:pPr>
      <w:r>
        <w:rPr>
          <w:rFonts w:ascii="Calibri" w:cs="Calibri" w:eastAsia="Calibri" w:hAnsi="Calibri"/>
          <w:color w:val="404040"/>
          <w:sz w:val="21"/>
          <w:szCs w:val="21"/>
        </w:rPr>
        <w:t xml:space="preserve">Observer notes from the exercise are not evidence of the real incident. They must not be commingled with real incident documentation.</w:t>
      </w:r>
    </w:p>
    <w:p>
      <w:pPr>
        <w:pStyle w:val="ListParagraph"/>
        <w:numPr>
          <w:ilvl w:val="0"/>
          <w:numId w:val="2"/>
        </w:numPr>
        <w:spacing w:after="80" w:line="276"/>
      </w:pPr>
      <w:r>
        <w:rPr>
          <w:rFonts w:ascii="Calibri" w:cs="Calibri" w:eastAsia="Calibri" w:hAnsi="Calibri"/>
          <w:color w:val="404040"/>
          <w:sz w:val="21"/>
          <w:szCs w:val="21"/>
        </w:rPr>
        <w:t xml:space="preserve">If the exercise scenario is coincidentally similar to the real incident (e.g., a ransomware exercise and a real ransomware event), the facilitator must immediately flag this to prevent confusion.</w:t>
      </w:r>
    </w:p>
    <w:p>
      <w:pPr>
        <w:pStyle w:val="Heading2"/>
        <w:keepNext/>
        <w:spacing w:after="110" w:before="240"/>
      </w:pPr>
      <w:r>
        <w:rPr>
          <w:rFonts w:ascii="Calibri" w:cs="Calibri" w:eastAsia="Calibri" w:hAnsi="Calibri"/>
          <w:b/>
          <w:bCs/>
          <w:color w:val="2E74B5"/>
          <w:sz w:val="25"/>
          <w:szCs w:val="25"/>
        </w:rPr>
        <w:t xml:space="preserve">Post-Incident Exercise Disposition</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3560"/>
        <w:gridCol w:w="270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Outcome</w:t>
            </w:r>
          </w:p>
        </w:tc>
        <w:tc>
          <w:tcPr>
            <w:tcW w:type="dxa" w:w="35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Billing</w:t>
            </w:r>
          </w:p>
        </w:tc>
        <w:tc>
          <w:tcPr>
            <w:tcW w:type="dxa" w:w="2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Rescheduling</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Exercise completed before incident</w:t>
            </w:r>
          </w:p>
        </w:tc>
        <w:tc>
          <w:tcPr>
            <w:tcW w:type="dxa" w:w="3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Full engagement fee applies. Deliver the AAR normally.</w:t>
            </w:r>
          </w:p>
        </w:tc>
        <w:tc>
          <w:tcPr>
            <w:tcW w:type="dxa" w:w="2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Exercise paused and resumed same day</w:t>
            </w:r>
          </w:p>
        </w:tc>
        <w:tc>
          <w:tcPr>
            <w:tcW w:type="dxa" w:w="3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Full engagement fee. Note the interruption in the AAR.</w:t>
            </w:r>
          </w:p>
        </w:tc>
        <w:tc>
          <w:tcPr>
            <w:tcW w:type="dxa" w:w="2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Exercise terminated, substantial content delivered (&gt;50%)</w:t>
            </w:r>
          </w:p>
        </w:tc>
        <w:tc>
          <w:tcPr>
            <w:tcW w:type="dxa" w:w="3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Full engagement fee. Partial AAR based on content delivered.</w:t>
            </w:r>
          </w:p>
        </w:tc>
        <w:tc>
          <w:tcPr>
            <w:tcW w:type="dxa" w:w="2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Offer partial credit toward a rescheduled exercise.</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Exercise terminated, minimal content delivered (&lt;50%)</w:t>
            </w:r>
          </w:p>
        </w:tc>
        <w:tc>
          <w:tcPr>
            <w:tcW w:type="dxa" w:w="35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Apply the force majeure / good-faith terms in Exhibit A of the Statement of Work.</w:t>
            </w:r>
          </w:p>
        </w:tc>
        <w:tc>
          <w:tcPr>
            <w:tcW w:type="dxa" w:w="2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Reschedule at no additional fee.</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Exercise not started due to pre-exercise incident</w:t>
            </w:r>
          </w:p>
        </w:tc>
        <w:tc>
          <w:tcPr>
            <w:tcW w:type="dxa" w:w="35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 fee ,  force majeure terms per Exhibit A of the SOW.</w:t>
            </w:r>
          </w:p>
        </w:tc>
        <w:tc>
          <w:tcPr>
            <w:tcW w:type="dxa" w:w="2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Full reschedule.</w:t>
            </w:r>
          </w:p>
        </w:tc>
      </w:tr>
    </w:tbl>
    <w:p>
      <w:pPr>
        <w:spacing w:after="120"/>
      </w:pPr>
    </w:p>
    <w:p>
      <w:pPr>
        <w:pStyle w:val="Heading2"/>
        <w:keepNext/>
        <w:spacing w:after="110" w:before="240"/>
      </w:pPr>
      <w:r>
        <w:rPr>
          <w:rFonts w:ascii="Calibri" w:cs="Calibri" w:eastAsia="Calibri" w:hAnsi="Calibri"/>
          <w:b/>
          <w:bCs/>
          <w:color w:val="2E74B5"/>
          <w:sz w:val="25"/>
          <w:szCs w:val="25"/>
        </w:rPr>
        <w:t xml:space="preserve">Communication Responsibilities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800"/>
        <w:gridCol w:w="2760"/>
        <w:gridCol w:w="2800"/>
      </w:tblGrid>
      <w:tr>
        <w:trPr>
          <w:tblHeader/>
        </w:trPr>
        <w:tc>
          <w:tcPr>
            <w:tcW w:type="dxa" w:w="3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Action</w:t>
            </w:r>
          </w:p>
        </w:tc>
        <w:tc>
          <w:tcPr>
            <w:tcW w:type="dxa" w:w="27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Responsible Party</w:t>
            </w:r>
          </w:p>
        </w:tc>
        <w:tc>
          <w:tcPr>
            <w:tcW w:type="dxa" w:w="2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Timing</w:t>
            </w:r>
          </w:p>
        </w:tc>
      </w:tr>
      <w:tr>
        <w:tc>
          <w:tcPr>
            <w:tcW w:type="dxa" w:w="3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Announce exercise pause/termination</w:t>
            </w:r>
          </w:p>
        </w:tc>
        <w:tc>
          <w:tcPr>
            <w:tcW w:type="dxa" w:w="2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Immediately upon incident confirmation</w:t>
            </w:r>
          </w:p>
        </w:tc>
      </w:tr>
      <w:tr>
        <w:tc>
          <w:tcPr>
            <w:tcW w:type="dxa" w:w="3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Confirm real incident status</w:t>
            </w:r>
          </w:p>
        </w:tc>
        <w:tc>
          <w:tcPr>
            <w:tcW w:type="dxa" w:w="2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exercise coordinator</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Immediately</w:t>
            </w:r>
          </w:p>
        </w:tc>
      </w:tr>
      <w:tr>
        <w:tc>
          <w:tcPr>
            <w:tcW w:type="dxa" w:w="3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Separate exercise materials from real incident materials</w:t>
            </w:r>
          </w:p>
        </w:tc>
        <w:tc>
          <w:tcPr>
            <w:tcW w:type="dxa" w:w="2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 + Observer</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Within 5 minutes of termination</w:t>
            </w:r>
          </w:p>
        </w:tc>
      </w:tr>
      <w:tr>
        <w:tc>
          <w:tcPr>
            <w:tcW w:type="dxa" w:w="3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Notify the internal engagement lead of the termination</w:t>
            </w:r>
          </w:p>
        </w:tc>
        <w:tc>
          <w:tcPr>
            <w:tcW w:type="dxa" w:w="2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Same day</w:t>
            </w:r>
          </w:p>
        </w:tc>
      </w:tr>
      <w:tr>
        <w:tc>
          <w:tcPr>
            <w:tcW w:type="dxa" w:w="3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Determine rescheduling terms</w:t>
            </w:r>
          </w:p>
        </w:tc>
        <w:tc>
          <w:tcPr>
            <w:tcW w:type="dxa" w:w="2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 + Client coordinator</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Within 5 business days</w:t>
            </w:r>
          </w:p>
        </w:tc>
      </w:tr>
      <w:tr>
        <w:tc>
          <w:tcPr>
            <w:tcW w:type="dxa" w:w="3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Document the event in the engagement file</w:t>
            </w:r>
          </w:p>
        </w:tc>
        <w:tc>
          <w:tcPr>
            <w:tcW w:type="dxa" w:w="2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Within 5 business days</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Facilitator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2026-07-14T19:57:45.860Z</dcterms:created>
  <dcterms:modified xsi:type="dcterms:W3CDTF">2026-07-14T19:57:45.860Z</dcterms:modified>
</cp:coreProperties>
</file>

<file path=docProps/custom.xml><?xml version="1.0" encoding="utf-8"?>
<Properties xmlns="http://schemas.openxmlformats.org/officeDocument/2006/custom-properties" xmlns:vt="http://schemas.openxmlformats.org/officeDocument/2006/docPropsVTypes"/>
</file>